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76" w:type="dxa"/>
        <w:tblInd w:w="-36" w:type="dxa"/>
        <w:tblLayout w:type="fixed"/>
        <w:tblCellMar>
          <w:left w:w="115" w:type="dxa"/>
          <w:right w:w="115" w:type="dxa"/>
        </w:tblCellMar>
        <w:tblLook w:val="04A0" w:firstRow="1" w:lastRow="0" w:firstColumn="1" w:lastColumn="0" w:noHBand="0" w:noVBand="1"/>
      </w:tblPr>
      <w:tblGrid>
        <w:gridCol w:w="18"/>
        <w:gridCol w:w="630"/>
        <w:gridCol w:w="103"/>
        <w:gridCol w:w="1380"/>
        <w:gridCol w:w="1667"/>
        <w:gridCol w:w="900"/>
        <w:gridCol w:w="1503"/>
        <w:gridCol w:w="297"/>
        <w:gridCol w:w="3773"/>
        <w:gridCol w:w="2887"/>
        <w:gridCol w:w="18"/>
      </w:tblGrid>
      <w:tr w:rsidR="00541F61" w:rsidRPr="00FC1CCE" w14:paraId="49AEEF2F" w14:textId="77777777" w:rsidTr="00E55BC0">
        <w:trPr>
          <w:gridBefore w:val="1"/>
          <w:gridAfter w:val="1"/>
          <w:wBefore w:w="18" w:type="dxa"/>
          <w:wAfter w:w="18" w:type="dxa"/>
        </w:trPr>
        <w:tc>
          <w:tcPr>
            <w:tcW w:w="2113" w:type="dxa"/>
            <w:gridSpan w:val="3"/>
            <w:shd w:val="clear" w:color="auto" w:fill="5D8AB2"/>
            <w:tcMar>
              <w:left w:w="72" w:type="dxa"/>
              <w:right w:w="72" w:type="dxa"/>
            </w:tcMar>
          </w:tcPr>
          <w:p w14:paraId="555F447F" w14:textId="77777777" w:rsidR="00541F61" w:rsidRPr="00065D2A" w:rsidRDefault="00541F61" w:rsidP="00C83033">
            <w:pPr>
              <w:spacing w:before="60" w:after="60"/>
              <w:rPr>
                <w:rFonts w:eastAsia="Cambria" w:cs="Times New Roman"/>
                <w:b/>
                <w:color w:val="FFFFFF" w:themeColor="background1"/>
                <w:sz w:val="24"/>
                <w:szCs w:val="24"/>
              </w:rPr>
            </w:pPr>
            <w:r w:rsidRPr="00065D2A">
              <w:rPr>
                <w:rFonts w:eastAsia="Cambria" w:cs="Times New Roman"/>
                <w:b/>
                <w:color w:val="FFFFFF" w:themeColor="background1"/>
                <w:sz w:val="24"/>
                <w:szCs w:val="24"/>
              </w:rPr>
              <w:t>Initiative Title:</w:t>
            </w:r>
          </w:p>
        </w:tc>
        <w:tc>
          <w:tcPr>
            <w:tcW w:w="11027" w:type="dxa"/>
            <w:gridSpan w:val="6"/>
            <w:shd w:val="clear" w:color="auto" w:fill="auto"/>
          </w:tcPr>
          <w:p w14:paraId="42D392AE" w14:textId="39013A7B" w:rsidR="001F1B03" w:rsidRPr="001F1B03" w:rsidRDefault="009813CC" w:rsidP="00C83033">
            <w:pPr>
              <w:spacing w:before="60" w:after="60"/>
              <w:rPr>
                <w:rFonts w:eastAsia="Cambria" w:cs="Times New Roman"/>
              </w:rPr>
            </w:pPr>
            <w:r w:rsidRPr="000B3989">
              <w:rPr>
                <w:rFonts w:eastAsia="Cambria" w:cs="Times New Roman"/>
              </w:rPr>
              <w:t>Child and Family Services</w:t>
            </w:r>
          </w:p>
        </w:tc>
      </w:tr>
      <w:tr w:rsidR="00AB7C55" w:rsidRPr="009F4193" w14:paraId="59045190" w14:textId="77777777" w:rsidTr="00AB7C55">
        <w:trPr>
          <w:gridBefore w:val="1"/>
          <w:gridAfter w:val="1"/>
          <w:wBefore w:w="18" w:type="dxa"/>
          <w:wAfter w:w="18" w:type="dxa"/>
        </w:trPr>
        <w:tc>
          <w:tcPr>
            <w:tcW w:w="2113" w:type="dxa"/>
            <w:gridSpan w:val="3"/>
            <w:shd w:val="clear" w:color="auto" w:fill="5D8AB2"/>
            <w:tcMar>
              <w:left w:w="0" w:type="dxa"/>
              <w:right w:w="58" w:type="dxa"/>
            </w:tcMar>
          </w:tcPr>
          <w:p w14:paraId="571AACF9" w14:textId="77777777" w:rsidR="00AB7C55" w:rsidRPr="00065D2A" w:rsidRDefault="00AB7C55" w:rsidP="00C83033">
            <w:pPr>
              <w:spacing w:before="60"/>
              <w:jc w:val="right"/>
              <w:rPr>
                <w:color w:val="FFFFFF" w:themeColor="background1"/>
              </w:rPr>
            </w:pPr>
            <w:r w:rsidRPr="00065D2A">
              <w:rPr>
                <w:rFonts w:eastAsia="Cambria" w:cs="Times New Roman"/>
                <w:b/>
                <w:color w:val="FFFFFF" w:themeColor="background1"/>
              </w:rPr>
              <w:t xml:space="preserve">Initiative </w:t>
            </w:r>
            <w:r w:rsidRPr="00065D2A">
              <w:rPr>
                <w:rFonts w:eastAsia="Cambria" w:cs="Times New Roman"/>
                <w:b/>
                <w:color w:val="FFFFFF" w:themeColor="background1"/>
                <w:sz w:val="24"/>
                <w:szCs w:val="24"/>
              </w:rPr>
              <w:t>Descrip</w:t>
            </w:r>
            <w:r w:rsidRPr="00065D2A">
              <w:rPr>
                <w:rFonts w:eastAsia="Cambria" w:cs="Times New Roman"/>
                <w:b/>
                <w:color w:val="FFFFFF" w:themeColor="background1"/>
              </w:rPr>
              <w:t xml:space="preserve">tion:  </w:t>
            </w:r>
          </w:p>
        </w:tc>
        <w:tc>
          <w:tcPr>
            <w:tcW w:w="11027" w:type="dxa"/>
            <w:gridSpan w:val="6"/>
            <w:tcMar>
              <w:left w:w="72" w:type="dxa"/>
              <w:right w:w="72" w:type="dxa"/>
            </w:tcMar>
          </w:tcPr>
          <w:p w14:paraId="0B7D86C4" w14:textId="77777777" w:rsidR="00B15D2B" w:rsidRDefault="009813CC" w:rsidP="007E4B9C">
            <w:pPr>
              <w:widowControl w:val="0"/>
              <w:spacing w:before="60"/>
              <w:rPr>
                <w:rFonts w:cstheme="minorHAnsi"/>
              </w:rPr>
            </w:pPr>
            <w:r w:rsidRPr="004371EB">
              <w:rPr>
                <w:rFonts w:cstheme="minorHAnsi"/>
              </w:rPr>
              <w:t>AOK Networks prioritize a set of related child and family outcomes through a community assessment process using the AOK Networks Developmental Pathway that become the focus of this initiative.  To better support children and families to reach these targeted outcomes AOK Network partners seek to understand the ways in which the system could be improved through a system assessment and root cause analysis and work together to develop and implement strategies aimed at addressing root causes within the system, ultimately enhancing the targeted outcomes.</w:t>
            </w:r>
          </w:p>
          <w:p w14:paraId="356AB090" w14:textId="1D201C91" w:rsidR="001F1B03" w:rsidRPr="009F4193" w:rsidRDefault="001F1B03" w:rsidP="007E4B9C">
            <w:pPr>
              <w:widowControl w:val="0"/>
              <w:spacing w:before="60"/>
            </w:pPr>
          </w:p>
        </w:tc>
      </w:tr>
      <w:tr w:rsidR="00AB7C55" w:rsidRPr="005D3C25" w14:paraId="2264D01C" w14:textId="77777777" w:rsidTr="00541F61">
        <w:trPr>
          <w:gridBefore w:val="1"/>
          <w:gridAfter w:val="1"/>
          <w:wBefore w:w="18" w:type="dxa"/>
          <w:wAfter w:w="18" w:type="dxa"/>
          <w:trHeight w:val="368"/>
        </w:trPr>
        <w:tc>
          <w:tcPr>
            <w:tcW w:w="733" w:type="dxa"/>
            <w:gridSpan w:val="2"/>
            <w:vMerge w:val="restart"/>
            <w:shd w:val="clear" w:color="auto" w:fill="5D8AB2"/>
            <w:tcMar>
              <w:left w:w="0" w:type="dxa"/>
              <w:right w:w="58" w:type="dxa"/>
            </w:tcMar>
            <w:textDirection w:val="btLr"/>
          </w:tcPr>
          <w:p w14:paraId="15B9E592" w14:textId="77777777" w:rsidR="00AB7C55" w:rsidRPr="00065D2A" w:rsidRDefault="00AB7C55" w:rsidP="00C83033">
            <w:pPr>
              <w:spacing w:before="60"/>
              <w:ind w:left="113" w:right="113"/>
              <w:jc w:val="center"/>
              <w:rPr>
                <w:rFonts w:eastAsia="Cambria" w:cs="Times New Roman"/>
                <w:b/>
                <w:color w:val="FFFFFF" w:themeColor="background1"/>
                <w:sz w:val="18"/>
                <w:szCs w:val="18"/>
              </w:rPr>
            </w:pPr>
            <w:r w:rsidRPr="00065D2A">
              <w:rPr>
                <w:b/>
                <w:color w:val="FFFFFF" w:themeColor="background1"/>
                <w:sz w:val="18"/>
                <w:szCs w:val="18"/>
              </w:rPr>
              <w:t>Overall Desired Results</w:t>
            </w:r>
            <w:r w:rsidRPr="00065D2A">
              <w:rPr>
                <w:rFonts w:eastAsia="Cambria" w:cs="Times New Roman"/>
                <w:b/>
                <w:color w:val="FFFFFF" w:themeColor="background1"/>
                <w:sz w:val="18"/>
                <w:szCs w:val="18"/>
              </w:rPr>
              <w:t xml:space="preserve"> </w:t>
            </w:r>
            <w:r w:rsidRPr="00065D2A">
              <w:rPr>
                <w:rFonts w:eastAsia="Cambria" w:cs="Times New Roman"/>
                <w:b/>
                <w:color w:val="FFFFFF" w:themeColor="background1"/>
                <w:sz w:val="18"/>
                <w:szCs w:val="18"/>
              </w:rPr>
              <w:br/>
            </w:r>
            <w:r w:rsidRPr="00065D2A">
              <w:rPr>
                <w:rFonts w:eastAsia="Cambria" w:cs="Times New Roman"/>
                <w:color w:val="FFFFFF" w:themeColor="background1"/>
                <w:sz w:val="18"/>
                <w:szCs w:val="18"/>
              </w:rPr>
              <w:t>(Measurable Outcomes)</w:t>
            </w:r>
          </w:p>
          <w:p w14:paraId="17A8C6DE" w14:textId="77777777" w:rsidR="00AB7C55" w:rsidRPr="00065D2A" w:rsidRDefault="00AB7C55" w:rsidP="00C83033">
            <w:pPr>
              <w:spacing w:before="60"/>
              <w:ind w:left="113" w:right="113"/>
              <w:jc w:val="center"/>
              <w:rPr>
                <w:rFonts w:eastAsia="Cambria" w:cs="Times New Roman"/>
                <w:b/>
                <w:color w:val="FFFFFF" w:themeColor="background1"/>
                <w:sz w:val="18"/>
                <w:szCs w:val="18"/>
              </w:rPr>
            </w:pPr>
          </w:p>
        </w:tc>
        <w:tc>
          <w:tcPr>
            <w:tcW w:w="1380" w:type="dxa"/>
            <w:vMerge w:val="restart"/>
            <w:shd w:val="clear" w:color="auto" w:fill="auto"/>
          </w:tcPr>
          <w:p w14:paraId="40E1E84C" w14:textId="77777777" w:rsidR="00AB7C55" w:rsidRPr="00272415" w:rsidRDefault="00AB7C55" w:rsidP="00C83033">
            <w:pPr>
              <w:rPr>
                <w:rFonts w:eastAsia="Cambria" w:cs="Times New Roman"/>
                <w:b/>
                <w:sz w:val="18"/>
                <w:szCs w:val="18"/>
              </w:rPr>
            </w:pPr>
          </w:p>
          <w:p w14:paraId="3599878C"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Child Impact </w:t>
            </w:r>
          </w:p>
        </w:tc>
        <w:tc>
          <w:tcPr>
            <w:tcW w:w="11027" w:type="dxa"/>
            <w:gridSpan w:val="6"/>
            <w:shd w:val="clear" w:color="auto" w:fill="auto"/>
            <w:tcMar>
              <w:top w:w="72" w:type="dxa"/>
              <w:left w:w="72" w:type="dxa"/>
              <w:bottom w:w="72" w:type="dxa"/>
              <w:right w:w="72" w:type="dxa"/>
            </w:tcMar>
          </w:tcPr>
          <w:p w14:paraId="5DF1DAD4" w14:textId="6FF211BB" w:rsidR="00AB7C55" w:rsidRPr="000B3989" w:rsidRDefault="00E46A39" w:rsidP="00E46A39">
            <w:pPr>
              <w:pStyle w:val="NormalWeb"/>
              <w:spacing w:before="2" w:after="2"/>
              <w:rPr>
                <w:rFonts w:ascii="Calibri" w:hAnsi="Calibri" w:cs="Calibri"/>
                <w:color w:val="0070C0"/>
              </w:rPr>
            </w:pPr>
            <w:r w:rsidRPr="000B3989">
              <w:rPr>
                <w:rFonts w:ascii="Calibri" w:hAnsi="Calibri" w:cs="Calibri"/>
              </w:rPr>
              <w:t xml:space="preserve">Fewer </w:t>
            </w:r>
            <w:r w:rsidR="003C5FFB" w:rsidRPr="000B3989">
              <w:rPr>
                <w:rFonts w:ascii="Calibri" w:hAnsi="Calibri" w:cs="Calibri"/>
              </w:rPr>
              <w:t>Children are abused or neglected.</w:t>
            </w:r>
          </w:p>
        </w:tc>
      </w:tr>
      <w:tr w:rsidR="00AB7C55" w:rsidRPr="00465CA0" w14:paraId="2854DC17" w14:textId="77777777" w:rsidTr="00541F61">
        <w:trPr>
          <w:gridBefore w:val="1"/>
          <w:gridAfter w:val="1"/>
          <w:wBefore w:w="18" w:type="dxa"/>
          <w:wAfter w:w="18" w:type="dxa"/>
          <w:trHeight w:val="305"/>
        </w:trPr>
        <w:tc>
          <w:tcPr>
            <w:tcW w:w="733" w:type="dxa"/>
            <w:gridSpan w:val="2"/>
            <w:vMerge/>
            <w:shd w:val="clear" w:color="auto" w:fill="5D8AB2"/>
            <w:tcMar>
              <w:left w:w="0" w:type="dxa"/>
              <w:right w:w="58" w:type="dxa"/>
            </w:tcMar>
            <w:textDirection w:val="btLr"/>
          </w:tcPr>
          <w:p w14:paraId="10907487" w14:textId="77777777" w:rsidR="00AB7C55" w:rsidRPr="00411266" w:rsidRDefault="00AB7C55" w:rsidP="00C83033">
            <w:pPr>
              <w:spacing w:before="60"/>
              <w:ind w:left="113" w:right="113"/>
              <w:jc w:val="center"/>
              <w:rPr>
                <w:sz w:val="18"/>
                <w:szCs w:val="18"/>
              </w:rPr>
            </w:pPr>
          </w:p>
        </w:tc>
        <w:tc>
          <w:tcPr>
            <w:tcW w:w="1380" w:type="dxa"/>
            <w:vMerge/>
            <w:shd w:val="clear" w:color="auto" w:fill="auto"/>
          </w:tcPr>
          <w:p w14:paraId="10D314EB" w14:textId="77777777" w:rsidR="00AB7C55" w:rsidRPr="00272415" w:rsidRDefault="00AB7C55" w:rsidP="00C83033">
            <w:pPr>
              <w:jc w:val="right"/>
              <w:rPr>
                <w:rFonts w:eastAsia="Cambria" w:cs="Times New Roman"/>
                <w:b/>
                <w:sz w:val="18"/>
                <w:szCs w:val="18"/>
              </w:rPr>
            </w:pPr>
          </w:p>
        </w:tc>
        <w:tc>
          <w:tcPr>
            <w:tcW w:w="4070" w:type="dxa"/>
            <w:gridSpan w:val="3"/>
            <w:shd w:val="clear" w:color="auto" w:fill="auto"/>
            <w:tcMar>
              <w:top w:w="72" w:type="dxa"/>
              <w:left w:w="72" w:type="dxa"/>
              <w:bottom w:w="72" w:type="dxa"/>
              <w:right w:w="72" w:type="dxa"/>
            </w:tcMar>
          </w:tcPr>
          <w:p w14:paraId="0CD645DA" w14:textId="77777777" w:rsidR="00AB7C55" w:rsidRPr="00B15D2B" w:rsidRDefault="00B15D2B" w:rsidP="009B170C">
            <w:pPr>
              <w:spacing w:beforeLines="1" w:before="2" w:afterLines="1" w:after="2"/>
              <w:rPr>
                <w:rFonts w:cs="Times New Roman"/>
                <w:b/>
                <w:sz w:val="18"/>
                <w:szCs w:val="18"/>
              </w:rPr>
            </w:pPr>
            <w:r>
              <w:rPr>
                <w:rFonts w:cs="Times New Roman"/>
                <w:b/>
                <w:sz w:val="18"/>
                <w:szCs w:val="18"/>
              </w:rPr>
              <w:t>Initial</w:t>
            </w:r>
            <w:r w:rsidRPr="00B15D2B">
              <w:rPr>
                <w:b/>
                <w:sz w:val="18"/>
                <w:szCs w:val="18"/>
              </w:rPr>
              <w:t xml:space="preserve"> Data Point:</w:t>
            </w:r>
            <w:r w:rsidRPr="00B15D2B">
              <w:rPr>
                <w:i/>
                <w:sz w:val="18"/>
                <w:szCs w:val="18"/>
              </w:rPr>
              <w:t xml:space="preserve"> </w:t>
            </w:r>
          </w:p>
        </w:tc>
        <w:tc>
          <w:tcPr>
            <w:tcW w:w="4070" w:type="dxa"/>
            <w:gridSpan w:val="2"/>
            <w:shd w:val="clear" w:color="auto" w:fill="auto"/>
          </w:tcPr>
          <w:p w14:paraId="134284CE" w14:textId="77777777" w:rsidR="00AB7C55" w:rsidRPr="00272415" w:rsidRDefault="00AB7C55" w:rsidP="009B170C">
            <w:pPr>
              <w:spacing w:beforeLines="1" w:before="2" w:afterLines="1" w:after="2"/>
              <w:rPr>
                <w:rFonts w:cs="Times New Roman"/>
                <w:b/>
                <w:sz w:val="18"/>
                <w:szCs w:val="18"/>
              </w:rPr>
            </w:pPr>
            <w:r w:rsidRPr="00272415">
              <w:rPr>
                <w:rFonts w:cs="Times New Roman"/>
                <w:b/>
                <w:sz w:val="18"/>
                <w:szCs w:val="18"/>
              </w:rPr>
              <w:t>Mid-Cycle:</w:t>
            </w:r>
          </w:p>
        </w:tc>
        <w:tc>
          <w:tcPr>
            <w:tcW w:w="2887" w:type="dxa"/>
            <w:shd w:val="clear" w:color="auto" w:fill="auto"/>
          </w:tcPr>
          <w:p w14:paraId="79ED86AF" w14:textId="77777777" w:rsidR="00AB7C55" w:rsidRPr="00272415" w:rsidRDefault="00AB7C55" w:rsidP="009B170C">
            <w:pPr>
              <w:spacing w:beforeLines="1" w:before="2" w:afterLines="1" w:after="2"/>
              <w:rPr>
                <w:rFonts w:cs="Times New Roman"/>
                <w:b/>
                <w:sz w:val="18"/>
                <w:szCs w:val="18"/>
              </w:rPr>
            </w:pPr>
            <w:r w:rsidRPr="00272415">
              <w:rPr>
                <w:rFonts w:cs="Times New Roman"/>
                <w:b/>
                <w:sz w:val="18"/>
                <w:szCs w:val="18"/>
              </w:rPr>
              <w:t>End of Cycle:</w:t>
            </w:r>
          </w:p>
        </w:tc>
      </w:tr>
      <w:tr w:rsidR="00AB7C55" w:rsidRPr="009F4193" w14:paraId="348FABCE" w14:textId="77777777" w:rsidTr="00AB7C55">
        <w:trPr>
          <w:gridBefore w:val="1"/>
          <w:gridAfter w:val="1"/>
          <w:wBefore w:w="18" w:type="dxa"/>
          <w:wAfter w:w="18" w:type="dxa"/>
        </w:trPr>
        <w:tc>
          <w:tcPr>
            <w:tcW w:w="733" w:type="dxa"/>
            <w:gridSpan w:val="2"/>
            <w:vMerge/>
            <w:shd w:val="clear" w:color="auto" w:fill="5D8AB2"/>
            <w:tcMar>
              <w:left w:w="0" w:type="dxa"/>
              <w:right w:w="58" w:type="dxa"/>
            </w:tcMar>
          </w:tcPr>
          <w:p w14:paraId="5A8C2337" w14:textId="77777777" w:rsidR="00AB7C55" w:rsidRPr="00411266" w:rsidRDefault="00AB7C55" w:rsidP="00C83033">
            <w:pPr>
              <w:spacing w:before="60"/>
              <w:jc w:val="right"/>
              <w:rPr>
                <w:rFonts w:eastAsia="Cambria" w:cs="Times New Roman"/>
                <w:b/>
                <w:sz w:val="18"/>
                <w:szCs w:val="18"/>
              </w:rPr>
            </w:pPr>
          </w:p>
        </w:tc>
        <w:tc>
          <w:tcPr>
            <w:tcW w:w="1380" w:type="dxa"/>
            <w:shd w:val="clear" w:color="auto" w:fill="auto"/>
          </w:tcPr>
          <w:p w14:paraId="4D2FCC0C"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Child Early Success </w:t>
            </w:r>
          </w:p>
        </w:tc>
        <w:tc>
          <w:tcPr>
            <w:tcW w:w="11027" w:type="dxa"/>
            <w:gridSpan w:val="6"/>
            <w:shd w:val="clear" w:color="auto" w:fill="auto"/>
            <w:tcMar>
              <w:top w:w="72" w:type="dxa"/>
              <w:left w:w="72" w:type="dxa"/>
              <w:bottom w:w="72" w:type="dxa"/>
              <w:right w:w="72" w:type="dxa"/>
            </w:tcMar>
          </w:tcPr>
          <w:p w14:paraId="3DB3C4BF" w14:textId="44D306DD" w:rsidR="00AB7C55" w:rsidRPr="00541F61" w:rsidRDefault="004F2799" w:rsidP="009B170C">
            <w:pPr>
              <w:spacing w:beforeLines="1" w:before="2" w:afterLines="1" w:after="2" w:line="276" w:lineRule="auto"/>
              <w:rPr>
                <w:rFonts w:cs="Times New Roman"/>
                <w:color w:val="0070C0"/>
              </w:rPr>
            </w:pPr>
            <w:r>
              <w:rPr>
                <w:rFonts w:cstheme="minorHAnsi"/>
              </w:rPr>
              <w:t>More Children are receiving developmental screenings</w:t>
            </w:r>
            <w:r>
              <w:rPr>
                <w:rFonts w:cstheme="minorHAnsi"/>
              </w:rPr>
              <w:t>.</w:t>
            </w:r>
          </w:p>
        </w:tc>
      </w:tr>
      <w:tr w:rsidR="00AB7C55" w:rsidRPr="00411266" w14:paraId="0EA3150B" w14:textId="77777777" w:rsidTr="00AB7C55">
        <w:trPr>
          <w:gridBefore w:val="1"/>
          <w:gridAfter w:val="1"/>
          <w:wBefore w:w="18" w:type="dxa"/>
          <w:wAfter w:w="18" w:type="dxa"/>
          <w:trHeight w:val="602"/>
        </w:trPr>
        <w:tc>
          <w:tcPr>
            <w:tcW w:w="733" w:type="dxa"/>
            <w:gridSpan w:val="2"/>
            <w:vMerge/>
            <w:shd w:val="clear" w:color="auto" w:fill="5D8AB2"/>
            <w:tcMar>
              <w:left w:w="0" w:type="dxa"/>
              <w:right w:w="58" w:type="dxa"/>
            </w:tcMar>
          </w:tcPr>
          <w:p w14:paraId="06BEBE34" w14:textId="77777777" w:rsidR="00AB7C55" w:rsidRPr="00411266" w:rsidRDefault="00AB7C55" w:rsidP="00C83033">
            <w:pPr>
              <w:spacing w:before="60"/>
              <w:jc w:val="right"/>
              <w:rPr>
                <w:rFonts w:eastAsia="Cambria" w:cs="Times New Roman"/>
                <w:b/>
                <w:sz w:val="18"/>
                <w:szCs w:val="18"/>
              </w:rPr>
            </w:pPr>
          </w:p>
        </w:tc>
        <w:tc>
          <w:tcPr>
            <w:tcW w:w="1380" w:type="dxa"/>
            <w:shd w:val="clear" w:color="auto" w:fill="auto"/>
          </w:tcPr>
          <w:p w14:paraId="5E93857D" w14:textId="77777777" w:rsidR="00AB7C55" w:rsidRPr="00272415" w:rsidRDefault="00AB7C55" w:rsidP="00C83033">
            <w:pPr>
              <w:jc w:val="right"/>
              <w:rPr>
                <w:rFonts w:eastAsia="Cambria" w:cs="Times New Roman"/>
                <w:b/>
                <w:sz w:val="18"/>
                <w:szCs w:val="18"/>
              </w:rPr>
            </w:pPr>
            <w:r w:rsidRPr="00272415">
              <w:rPr>
                <w:rFonts w:eastAsia="Cambria" w:cs="Times New Roman"/>
                <w:b/>
                <w:sz w:val="18"/>
                <w:szCs w:val="18"/>
              </w:rPr>
              <w:t xml:space="preserve">Family Early Success </w:t>
            </w:r>
          </w:p>
        </w:tc>
        <w:tc>
          <w:tcPr>
            <w:tcW w:w="11027" w:type="dxa"/>
            <w:gridSpan w:val="6"/>
            <w:shd w:val="clear" w:color="auto" w:fill="auto"/>
            <w:tcMar>
              <w:top w:w="72" w:type="dxa"/>
              <w:left w:w="72" w:type="dxa"/>
              <w:bottom w:w="72" w:type="dxa"/>
              <w:right w:w="72" w:type="dxa"/>
            </w:tcMar>
          </w:tcPr>
          <w:p w14:paraId="5C74F9E1" w14:textId="0AF2E1C6" w:rsidR="00AB7C55" w:rsidRPr="00541F61" w:rsidRDefault="00CC5F02" w:rsidP="00CC5F02">
            <w:pPr>
              <w:pStyle w:val="NormalWeb"/>
              <w:spacing w:before="2" w:after="2"/>
              <w:rPr>
                <w:rFonts w:asciiTheme="minorHAnsi" w:hAnsiTheme="minorHAnsi" w:cstheme="minorHAnsi"/>
                <w:sz w:val="22"/>
                <w:szCs w:val="22"/>
              </w:rPr>
            </w:pPr>
            <w:r>
              <w:rPr>
                <w:rFonts w:asciiTheme="minorHAnsi" w:hAnsiTheme="minorHAnsi" w:cstheme="minorHAnsi"/>
                <w:sz w:val="22"/>
                <w:szCs w:val="22"/>
              </w:rPr>
              <w:t>Fewer parents/caregivers report being depressed.</w:t>
            </w:r>
          </w:p>
        </w:tc>
      </w:tr>
      <w:tr w:rsidR="00AB7C55" w14:paraId="26D497BE" w14:textId="77777777" w:rsidTr="00AB7C55">
        <w:tblPrEx>
          <w:tblCellMar>
            <w:left w:w="108" w:type="dxa"/>
            <w:right w:w="108" w:type="dxa"/>
          </w:tblCellMar>
        </w:tblPrEx>
        <w:tc>
          <w:tcPr>
            <w:tcW w:w="3798" w:type="dxa"/>
            <w:gridSpan w:val="5"/>
            <w:shd w:val="clear" w:color="auto" w:fill="F2F2F2" w:themeFill="background1" w:themeFillShade="F2"/>
          </w:tcPr>
          <w:p w14:paraId="216AF47B" w14:textId="77777777" w:rsidR="00AB7C55" w:rsidRDefault="00AB7C55">
            <w:r>
              <w:t>Objectives</w:t>
            </w:r>
          </w:p>
        </w:tc>
        <w:tc>
          <w:tcPr>
            <w:tcW w:w="2700" w:type="dxa"/>
            <w:gridSpan w:val="3"/>
            <w:shd w:val="clear" w:color="auto" w:fill="F2F2F2" w:themeFill="background1" w:themeFillShade="F2"/>
          </w:tcPr>
          <w:p w14:paraId="1F31CFFA" w14:textId="77777777" w:rsidR="00AB7C55" w:rsidRDefault="00AB7C55" w:rsidP="00C326F5">
            <w:pPr>
              <w:jc w:val="both"/>
            </w:pPr>
            <w:r>
              <w:t>Approaches/Strategies</w:t>
            </w:r>
          </w:p>
        </w:tc>
        <w:tc>
          <w:tcPr>
            <w:tcW w:w="6678" w:type="dxa"/>
            <w:gridSpan w:val="3"/>
            <w:shd w:val="clear" w:color="auto" w:fill="F2F2F2" w:themeFill="background1" w:themeFillShade="F2"/>
          </w:tcPr>
          <w:p w14:paraId="550473A0" w14:textId="77777777" w:rsidR="00AB7C55" w:rsidRDefault="00AB7C55">
            <w:r>
              <w:t>Outcome</w:t>
            </w:r>
            <w:r w:rsidR="009B170C">
              <w:t>s</w:t>
            </w:r>
          </w:p>
        </w:tc>
      </w:tr>
      <w:tr w:rsidR="009B170C" w14:paraId="5E5593B9" w14:textId="77777777" w:rsidTr="00AB7C55">
        <w:tblPrEx>
          <w:tblCellMar>
            <w:left w:w="108" w:type="dxa"/>
            <w:right w:w="108" w:type="dxa"/>
          </w:tblCellMar>
        </w:tblPrEx>
        <w:trPr>
          <w:trHeight w:val="480"/>
        </w:trPr>
        <w:tc>
          <w:tcPr>
            <w:tcW w:w="648" w:type="dxa"/>
            <w:gridSpan w:val="2"/>
            <w:vMerge w:val="restart"/>
          </w:tcPr>
          <w:p w14:paraId="44CE2CF7" w14:textId="2DF4A748" w:rsidR="009B170C" w:rsidRPr="007656D4" w:rsidRDefault="00A812EC" w:rsidP="00512CDB">
            <w:pPr>
              <w:rPr>
                <w:b/>
                <w:bCs/>
              </w:rPr>
            </w:pPr>
            <w:r w:rsidRPr="007656D4">
              <w:rPr>
                <w:b/>
                <w:bCs/>
              </w:rPr>
              <w:t>3.3</w:t>
            </w:r>
          </w:p>
        </w:tc>
        <w:tc>
          <w:tcPr>
            <w:tcW w:w="3150" w:type="dxa"/>
            <w:gridSpan w:val="3"/>
            <w:vMerge w:val="restart"/>
          </w:tcPr>
          <w:p w14:paraId="1114101D" w14:textId="77777777" w:rsidR="009B170C" w:rsidRPr="001309A0" w:rsidRDefault="00235A74" w:rsidP="007E4B9C">
            <w:pPr>
              <w:rPr>
                <w:b/>
                <w:bCs/>
              </w:rPr>
            </w:pPr>
            <w:r w:rsidRPr="001309A0">
              <w:rPr>
                <w:b/>
                <w:bCs/>
              </w:rPr>
              <w:t>Build Trust and Knowledge in Early Intervention</w:t>
            </w:r>
          </w:p>
          <w:p w14:paraId="20FEAC1C" w14:textId="77777777" w:rsidR="00235A74" w:rsidRDefault="00235A74" w:rsidP="007E4B9C"/>
          <w:p w14:paraId="349FCA83" w14:textId="73B141C8" w:rsidR="00235A74" w:rsidRDefault="001309A0" w:rsidP="007E4B9C">
            <w:r w:rsidRPr="001309A0">
              <w:t>By June 30, 2030, more parents will demonstrate greater confidence in navigating the Early Intervention system, along with increased knowledge of quality services available, as a result of the strategies outlined below.</w:t>
            </w:r>
          </w:p>
        </w:tc>
        <w:tc>
          <w:tcPr>
            <w:tcW w:w="900" w:type="dxa"/>
            <w:vAlign w:val="center"/>
          </w:tcPr>
          <w:p w14:paraId="7128C1B4" w14:textId="1224A5E6" w:rsidR="009B170C" w:rsidRPr="007656D4" w:rsidRDefault="001309A0" w:rsidP="004B4E52">
            <w:pPr>
              <w:jc w:val="center"/>
              <w:rPr>
                <w:b/>
                <w:bCs/>
              </w:rPr>
            </w:pPr>
            <w:r w:rsidRPr="007656D4">
              <w:rPr>
                <w:b/>
                <w:bCs/>
              </w:rPr>
              <w:t>3.3.1</w:t>
            </w:r>
          </w:p>
        </w:tc>
        <w:tc>
          <w:tcPr>
            <w:tcW w:w="1800" w:type="dxa"/>
            <w:gridSpan w:val="2"/>
          </w:tcPr>
          <w:p w14:paraId="439C067C" w14:textId="68FFD85D" w:rsidR="009B170C" w:rsidRPr="007656D4" w:rsidRDefault="007A6162" w:rsidP="00B15D2B">
            <w:pPr>
              <w:spacing w:before="60" w:after="60"/>
              <w:rPr>
                <w:rFonts w:cs="Times New Roman"/>
                <w:b/>
                <w:bCs/>
              </w:rPr>
            </w:pPr>
            <w:r w:rsidRPr="007656D4">
              <w:rPr>
                <w:rFonts w:cs="Times New Roman"/>
                <w:b/>
                <w:bCs/>
              </w:rPr>
              <w:t>Leading the Way: Parent Leadership in Early Intervention</w:t>
            </w:r>
          </w:p>
        </w:tc>
        <w:tc>
          <w:tcPr>
            <w:tcW w:w="6678" w:type="dxa"/>
            <w:gridSpan w:val="3"/>
          </w:tcPr>
          <w:p w14:paraId="2735781B" w14:textId="77777777" w:rsidR="00101CC0" w:rsidRPr="00101CC0" w:rsidRDefault="00101CC0" w:rsidP="00101CC0">
            <w:pPr>
              <w:pStyle w:val="ListParagraph"/>
              <w:numPr>
                <w:ilvl w:val="0"/>
                <w:numId w:val="21"/>
              </w:numPr>
              <w:rPr>
                <w:rFonts w:cs="Times New Roman"/>
                <w:bCs/>
              </w:rPr>
            </w:pPr>
            <w:r w:rsidRPr="00101CC0">
              <w:rPr>
                <w:rFonts w:cs="Times New Roman"/>
                <w:bCs/>
              </w:rPr>
              <w:t xml:space="preserve">Increase in local staff’s understanding of E.I. and enrollment processes.  </w:t>
            </w:r>
          </w:p>
          <w:p w14:paraId="53B192B2" w14:textId="494D7B79" w:rsidR="009B170C" w:rsidRPr="009B170C" w:rsidRDefault="00101CC0" w:rsidP="00101CC0">
            <w:pPr>
              <w:pStyle w:val="ListParagraph"/>
              <w:numPr>
                <w:ilvl w:val="0"/>
                <w:numId w:val="21"/>
              </w:numPr>
              <w:rPr>
                <w:rFonts w:cs="Times New Roman"/>
                <w:b/>
              </w:rPr>
            </w:pPr>
            <w:r w:rsidRPr="00101CC0">
              <w:rPr>
                <w:rFonts w:cs="Times New Roman"/>
                <w:bCs/>
              </w:rPr>
              <w:t>Increase in the number of PA’s who are confident in supporting other families to receive E.I. services.</w:t>
            </w:r>
          </w:p>
        </w:tc>
      </w:tr>
      <w:tr w:rsidR="007656D4" w14:paraId="615EA560" w14:textId="77777777" w:rsidTr="00565150">
        <w:tblPrEx>
          <w:tblCellMar>
            <w:left w:w="108" w:type="dxa"/>
            <w:right w:w="108" w:type="dxa"/>
          </w:tblCellMar>
        </w:tblPrEx>
        <w:trPr>
          <w:trHeight w:val="2249"/>
        </w:trPr>
        <w:tc>
          <w:tcPr>
            <w:tcW w:w="648" w:type="dxa"/>
            <w:gridSpan w:val="2"/>
            <w:vMerge/>
          </w:tcPr>
          <w:p w14:paraId="141110FA" w14:textId="77777777" w:rsidR="007656D4" w:rsidRDefault="007656D4"/>
        </w:tc>
        <w:tc>
          <w:tcPr>
            <w:tcW w:w="3150" w:type="dxa"/>
            <w:gridSpan w:val="3"/>
            <w:vMerge/>
          </w:tcPr>
          <w:p w14:paraId="6DC50874" w14:textId="77777777" w:rsidR="007656D4" w:rsidRPr="00A55AAC" w:rsidRDefault="007656D4"/>
        </w:tc>
        <w:tc>
          <w:tcPr>
            <w:tcW w:w="900" w:type="dxa"/>
          </w:tcPr>
          <w:p w14:paraId="3AE24ED7" w14:textId="17BB1E5D" w:rsidR="007656D4" w:rsidRPr="007656D4" w:rsidRDefault="007656D4" w:rsidP="001F01DC">
            <w:pPr>
              <w:jc w:val="center"/>
              <w:rPr>
                <w:b/>
                <w:bCs/>
              </w:rPr>
            </w:pPr>
            <w:r w:rsidRPr="007656D4">
              <w:rPr>
                <w:b/>
                <w:bCs/>
              </w:rPr>
              <w:t>3.3.2</w:t>
            </w:r>
          </w:p>
        </w:tc>
        <w:tc>
          <w:tcPr>
            <w:tcW w:w="1800" w:type="dxa"/>
            <w:gridSpan w:val="2"/>
          </w:tcPr>
          <w:p w14:paraId="16F75BF5" w14:textId="03987526" w:rsidR="007656D4" w:rsidRPr="007656D4" w:rsidRDefault="007656D4">
            <w:pPr>
              <w:rPr>
                <w:b/>
                <w:bCs/>
              </w:rPr>
            </w:pPr>
            <w:r w:rsidRPr="007656D4">
              <w:rPr>
                <w:b/>
                <w:bCs/>
              </w:rPr>
              <w:t>Enhancing Early Childhood Outcomes Through Restored Coordination</w:t>
            </w:r>
          </w:p>
        </w:tc>
        <w:tc>
          <w:tcPr>
            <w:tcW w:w="6678" w:type="dxa"/>
            <w:gridSpan w:val="3"/>
          </w:tcPr>
          <w:p w14:paraId="6FE2B5F2" w14:textId="77777777" w:rsidR="007656D4" w:rsidRDefault="007656D4" w:rsidP="00D96A57">
            <w:pPr>
              <w:pStyle w:val="ListParagraph"/>
              <w:numPr>
                <w:ilvl w:val="0"/>
                <w:numId w:val="8"/>
              </w:numPr>
            </w:pPr>
            <w:r>
              <w:t xml:space="preserve">Increase the number of programs submitting Child Find reports. </w:t>
            </w:r>
          </w:p>
          <w:p w14:paraId="676AFA2D" w14:textId="77777777" w:rsidR="007656D4" w:rsidRDefault="007656D4" w:rsidP="00D96A57">
            <w:pPr>
              <w:ind w:left="34"/>
            </w:pPr>
          </w:p>
          <w:p w14:paraId="2A8F9548" w14:textId="0E0C7488" w:rsidR="007656D4" w:rsidRPr="009B170C" w:rsidRDefault="007656D4" w:rsidP="00D96A57">
            <w:pPr>
              <w:pStyle w:val="ListParagraph"/>
              <w:numPr>
                <w:ilvl w:val="0"/>
                <w:numId w:val="8"/>
              </w:numPr>
            </w:pPr>
            <w:r>
              <w:t xml:space="preserve">Increase number of referrals made to EC Services related to developmental screening outcome.  </w:t>
            </w:r>
          </w:p>
        </w:tc>
      </w:tr>
      <w:tr w:rsidR="00AB7C55" w14:paraId="31F026D6" w14:textId="77777777" w:rsidTr="00FB1C02">
        <w:tblPrEx>
          <w:tblCellMar>
            <w:left w:w="108" w:type="dxa"/>
            <w:right w:w="108" w:type="dxa"/>
          </w:tblCellMar>
        </w:tblPrEx>
        <w:trPr>
          <w:trHeight w:val="692"/>
        </w:trPr>
        <w:tc>
          <w:tcPr>
            <w:tcW w:w="13176" w:type="dxa"/>
            <w:gridSpan w:val="11"/>
            <w:shd w:val="clear" w:color="auto" w:fill="F2F2F2" w:themeFill="background1" w:themeFillShade="F2"/>
          </w:tcPr>
          <w:p w14:paraId="4769690E" w14:textId="77777777" w:rsidR="00AB7C55" w:rsidRPr="004B4E52" w:rsidRDefault="00AB7C55" w:rsidP="004B4E52">
            <w:pPr>
              <w:rPr>
                <w:sz w:val="16"/>
                <w:szCs w:val="16"/>
              </w:rPr>
            </w:pPr>
          </w:p>
        </w:tc>
      </w:tr>
      <w:tr w:rsidR="009B170C" w14:paraId="18B01958" w14:textId="77777777" w:rsidTr="009B170C">
        <w:tblPrEx>
          <w:tblCellMar>
            <w:left w:w="108" w:type="dxa"/>
            <w:right w:w="108" w:type="dxa"/>
          </w:tblCellMar>
        </w:tblPrEx>
        <w:trPr>
          <w:trHeight w:val="475"/>
        </w:trPr>
        <w:tc>
          <w:tcPr>
            <w:tcW w:w="648" w:type="dxa"/>
            <w:gridSpan w:val="2"/>
            <w:vMerge w:val="restart"/>
          </w:tcPr>
          <w:p w14:paraId="650EB708" w14:textId="258656B3" w:rsidR="009B170C" w:rsidRPr="007656D4" w:rsidRDefault="00D96A57" w:rsidP="00333279">
            <w:pPr>
              <w:rPr>
                <w:b/>
                <w:bCs/>
              </w:rPr>
            </w:pPr>
            <w:r w:rsidRPr="007656D4">
              <w:rPr>
                <w:b/>
                <w:bCs/>
              </w:rPr>
              <w:lastRenderedPageBreak/>
              <w:t>3.4</w:t>
            </w:r>
          </w:p>
        </w:tc>
        <w:tc>
          <w:tcPr>
            <w:tcW w:w="3150" w:type="dxa"/>
            <w:gridSpan w:val="3"/>
            <w:vMerge w:val="restart"/>
          </w:tcPr>
          <w:p w14:paraId="2C85B335" w14:textId="3CE803D8" w:rsidR="00A11720" w:rsidRDefault="00A11720" w:rsidP="001F01DC">
            <w:pPr>
              <w:rPr>
                <w:b/>
              </w:rPr>
            </w:pPr>
            <w:r w:rsidRPr="00A11720">
              <w:rPr>
                <w:b/>
              </w:rPr>
              <w:t>Increase resources and support for isolated families</w:t>
            </w:r>
          </w:p>
          <w:p w14:paraId="1DD84626" w14:textId="77777777" w:rsidR="005E2A73" w:rsidRDefault="005E2A73" w:rsidP="001F01DC">
            <w:pPr>
              <w:rPr>
                <w:b/>
              </w:rPr>
            </w:pPr>
          </w:p>
          <w:p w14:paraId="00909F34" w14:textId="339AF936" w:rsidR="009B170C" w:rsidRPr="00A11720" w:rsidRDefault="00565150" w:rsidP="001F01DC">
            <w:pPr>
              <w:rPr>
                <w:bCs/>
              </w:rPr>
            </w:pPr>
            <w:r>
              <w:rPr>
                <w:bCs/>
              </w:rPr>
              <w:t>B</w:t>
            </w:r>
            <w:r w:rsidR="00E231E9" w:rsidRPr="00A11720">
              <w:rPr>
                <w:bCs/>
              </w:rPr>
              <w:t>y June 30, 2030, families experiencing isolation, high stress, or difficulty identifying a support system report improved access to resources and strengthened coping skills, resulting from increased knowledge and coordination of quality services through the strategies outlined below.</w:t>
            </w:r>
          </w:p>
        </w:tc>
        <w:tc>
          <w:tcPr>
            <w:tcW w:w="900" w:type="dxa"/>
            <w:vAlign w:val="center"/>
          </w:tcPr>
          <w:p w14:paraId="47383394" w14:textId="503016D9" w:rsidR="009B170C" w:rsidRPr="007656D4" w:rsidRDefault="00072B08" w:rsidP="004B4E52">
            <w:pPr>
              <w:jc w:val="center"/>
              <w:rPr>
                <w:b/>
                <w:bCs/>
              </w:rPr>
            </w:pPr>
            <w:r w:rsidRPr="007656D4">
              <w:rPr>
                <w:b/>
                <w:bCs/>
              </w:rPr>
              <w:t>3.4.1</w:t>
            </w:r>
          </w:p>
        </w:tc>
        <w:tc>
          <w:tcPr>
            <w:tcW w:w="1800" w:type="dxa"/>
            <w:gridSpan w:val="2"/>
          </w:tcPr>
          <w:p w14:paraId="521F9C9E" w14:textId="2AF16794" w:rsidR="00B7480D" w:rsidRPr="007656D4" w:rsidRDefault="005A25FA" w:rsidP="001F01DC">
            <w:pPr>
              <w:rPr>
                <w:b/>
                <w:bCs/>
              </w:rPr>
            </w:pPr>
            <w:r w:rsidRPr="007656D4">
              <w:rPr>
                <w:b/>
                <w:bCs/>
              </w:rPr>
              <w:t>Wellness within reach-Equitable Access to Mental Health Tools</w:t>
            </w:r>
          </w:p>
        </w:tc>
        <w:tc>
          <w:tcPr>
            <w:tcW w:w="6678" w:type="dxa"/>
            <w:gridSpan w:val="3"/>
          </w:tcPr>
          <w:p w14:paraId="21C83543" w14:textId="43CA8D69" w:rsidR="009B170C" w:rsidRPr="00D57982" w:rsidRDefault="00D57982" w:rsidP="001F01DC">
            <w:pPr>
              <w:pStyle w:val="ListParagraph"/>
              <w:numPr>
                <w:ilvl w:val="0"/>
                <w:numId w:val="5"/>
              </w:numPr>
              <w:ind w:left="252" w:hanging="252"/>
              <w:rPr>
                <w:rFonts w:cs="Times New Roman"/>
                <w:iCs/>
              </w:rPr>
            </w:pPr>
            <w:r w:rsidRPr="00D57982">
              <w:rPr>
                <w:rFonts w:cs="Times New Roman"/>
                <w:iCs/>
              </w:rPr>
              <w:t>Increase underserved families’ awareness of local mental health services and resources to reduce daily stress.</w:t>
            </w:r>
          </w:p>
        </w:tc>
      </w:tr>
      <w:tr w:rsidR="00C35CBB" w14:paraId="35537156" w14:textId="77777777" w:rsidTr="00AE04B3">
        <w:tblPrEx>
          <w:tblCellMar>
            <w:left w:w="108" w:type="dxa"/>
            <w:right w:w="108" w:type="dxa"/>
          </w:tblCellMar>
        </w:tblPrEx>
        <w:trPr>
          <w:trHeight w:val="1445"/>
        </w:trPr>
        <w:tc>
          <w:tcPr>
            <w:tcW w:w="648" w:type="dxa"/>
            <w:gridSpan w:val="2"/>
            <w:vMerge/>
          </w:tcPr>
          <w:p w14:paraId="36C8FBD1" w14:textId="77777777" w:rsidR="00C35CBB" w:rsidRDefault="00C35CBB" w:rsidP="00333279"/>
        </w:tc>
        <w:tc>
          <w:tcPr>
            <w:tcW w:w="3150" w:type="dxa"/>
            <w:gridSpan w:val="3"/>
            <w:vMerge/>
          </w:tcPr>
          <w:p w14:paraId="57715944" w14:textId="77777777" w:rsidR="00C35CBB" w:rsidRPr="001F01DC" w:rsidRDefault="00C35CBB" w:rsidP="001F01DC">
            <w:pPr>
              <w:rPr>
                <w:b/>
              </w:rPr>
            </w:pPr>
          </w:p>
        </w:tc>
        <w:tc>
          <w:tcPr>
            <w:tcW w:w="900" w:type="dxa"/>
            <w:vAlign w:val="center"/>
          </w:tcPr>
          <w:p w14:paraId="327A6576" w14:textId="3F0F7107" w:rsidR="00C35CBB" w:rsidRPr="007656D4" w:rsidRDefault="00C35CBB" w:rsidP="004B4E52">
            <w:pPr>
              <w:jc w:val="center"/>
              <w:rPr>
                <w:b/>
                <w:bCs/>
              </w:rPr>
            </w:pPr>
            <w:r w:rsidRPr="007656D4">
              <w:rPr>
                <w:b/>
                <w:bCs/>
              </w:rPr>
              <w:t>3.4.2</w:t>
            </w:r>
          </w:p>
        </w:tc>
        <w:tc>
          <w:tcPr>
            <w:tcW w:w="1800" w:type="dxa"/>
            <w:gridSpan w:val="2"/>
          </w:tcPr>
          <w:p w14:paraId="1C933EF4" w14:textId="76DEB044" w:rsidR="00C35CBB" w:rsidRPr="007656D4" w:rsidRDefault="00C35CBB" w:rsidP="001F01DC">
            <w:pPr>
              <w:rPr>
                <w:rFonts w:cs="Times New Roman"/>
                <w:b/>
                <w:bCs/>
              </w:rPr>
            </w:pPr>
            <w:r w:rsidRPr="007656D4">
              <w:rPr>
                <w:rFonts w:cs="Times New Roman"/>
                <w:b/>
                <w:bCs/>
              </w:rPr>
              <w:t>Stronger Together: Fostering Peer Support Among Parents</w:t>
            </w:r>
          </w:p>
        </w:tc>
        <w:tc>
          <w:tcPr>
            <w:tcW w:w="6678" w:type="dxa"/>
            <w:gridSpan w:val="3"/>
          </w:tcPr>
          <w:p w14:paraId="57E2DD5F" w14:textId="0C1AD6B0" w:rsidR="00C35CBB" w:rsidRPr="009B170C" w:rsidRDefault="00C35CBB" w:rsidP="001F01DC">
            <w:pPr>
              <w:pStyle w:val="ListParagraph"/>
              <w:numPr>
                <w:ilvl w:val="0"/>
                <w:numId w:val="5"/>
              </w:numPr>
              <w:ind w:left="252" w:hanging="252"/>
              <w:rPr>
                <w:rFonts w:cs="Times New Roman"/>
              </w:rPr>
            </w:pPr>
            <w:r>
              <w:rPr>
                <w:rFonts w:cs="Times New Roman"/>
              </w:rPr>
              <w:t>M</w:t>
            </w:r>
            <w:r w:rsidRPr="006C2A21">
              <w:rPr>
                <w:rFonts w:cs="Times New Roman"/>
              </w:rPr>
              <w:t>ore parents will report knowing who to lean on for support and feel less isolated.</w:t>
            </w:r>
          </w:p>
        </w:tc>
      </w:tr>
    </w:tbl>
    <w:p w14:paraId="5057723D" w14:textId="77777777" w:rsidR="00281B26" w:rsidRDefault="00281B26"/>
    <w:p w14:paraId="45C671D1" w14:textId="77777777" w:rsidR="00281B26" w:rsidRDefault="00281B26" w:rsidP="00FD14AC">
      <w:pPr>
        <w:ind w:firstLine="720"/>
      </w:pPr>
    </w:p>
    <w:p w14:paraId="690928BA" w14:textId="77777777" w:rsidR="00FD14AC" w:rsidRPr="00FD14AC" w:rsidRDefault="00FD14AC" w:rsidP="00FD14AC">
      <w:pPr>
        <w:ind w:firstLine="720"/>
      </w:pPr>
    </w:p>
    <w:sectPr w:rsidR="00FD14AC" w:rsidRPr="00FD14AC" w:rsidSect="00615C38">
      <w:headerReference w:type="default" r:id="rId7"/>
      <w:pgSz w:w="15840" w:h="12240" w:orient="landscape"/>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47B" w14:textId="77777777" w:rsidR="00B95F00" w:rsidRDefault="00B95F00" w:rsidP="00C326F5">
      <w:pPr>
        <w:spacing w:after="0" w:line="240" w:lineRule="auto"/>
      </w:pPr>
      <w:r>
        <w:separator/>
      </w:r>
    </w:p>
  </w:endnote>
  <w:endnote w:type="continuationSeparator" w:id="0">
    <w:p w14:paraId="571BC3F0" w14:textId="77777777" w:rsidR="00B95F00" w:rsidRDefault="00B95F00" w:rsidP="00C3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648E" w14:textId="77777777" w:rsidR="00B95F00" w:rsidRDefault="00B95F00" w:rsidP="00C326F5">
      <w:pPr>
        <w:spacing w:after="0" w:line="240" w:lineRule="auto"/>
      </w:pPr>
      <w:r>
        <w:separator/>
      </w:r>
    </w:p>
  </w:footnote>
  <w:footnote w:type="continuationSeparator" w:id="0">
    <w:p w14:paraId="4F756C09" w14:textId="77777777" w:rsidR="00B95F00" w:rsidRDefault="00B95F00" w:rsidP="00C3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2430"/>
      <w:gridCol w:w="2520"/>
      <w:gridCol w:w="6030"/>
    </w:tblGrid>
    <w:tr w:rsidR="00DE0D21" w14:paraId="41D1BC53" w14:textId="77777777" w:rsidTr="00DE0D21">
      <w:trPr>
        <w:trHeight w:val="914"/>
      </w:trPr>
      <w:tc>
        <w:tcPr>
          <w:tcW w:w="1278" w:type="dxa"/>
          <w:vAlign w:val="bottom"/>
        </w:tcPr>
        <w:p w14:paraId="1F027EA5" w14:textId="77777777" w:rsidR="00DE0D21" w:rsidRDefault="00DE0D21">
          <w:pPr>
            <w:pStyle w:val="Header"/>
          </w:pPr>
          <w:r w:rsidRPr="00DE0D21">
            <w:rPr>
              <w:noProof/>
            </w:rPr>
            <w:drawing>
              <wp:inline distT="0" distB="0" distL="0" distR="0" wp14:anchorId="1A16674E" wp14:editId="6885D002">
                <wp:extent cx="580445" cy="580445"/>
                <wp:effectExtent l="19050" t="0" r="0" b="0"/>
                <wp:docPr id="5" name="Picture 1" descr="C:\Users\Home\Downloads\AO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AOK_LOGO.jpg"/>
                        <pic:cNvPicPr>
                          <a:picLocks noChangeAspect="1" noChangeArrowheads="1"/>
                        </pic:cNvPicPr>
                      </pic:nvPicPr>
                      <pic:blipFill>
                        <a:blip r:embed="rId1" cstate="print"/>
                        <a:srcRect/>
                        <a:stretch>
                          <a:fillRect/>
                        </a:stretch>
                      </pic:blipFill>
                      <pic:spPr bwMode="auto">
                        <a:xfrm>
                          <a:off x="0" y="0"/>
                          <a:ext cx="584421" cy="584421"/>
                        </a:xfrm>
                        <a:prstGeom prst="rect">
                          <a:avLst/>
                        </a:prstGeom>
                        <a:noFill/>
                        <a:ln w="9525">
                          <a:noFill/>
                          <a:miter lim="800000"/>
                          <a:headEnd/>
                          <a:tailEnd/>
                        </a:ln>
                      </pic:spPr>
                    </pic:pic>
                  </a:graphicData>
                </a:graphic>
              </wp:inline>
            </w:drawing>
          </w:r>
        </w:p>
      </w:tc>
      <w:tc>
        <w:tcPr>
          <w:tcW w:w="10980" w:type="dxa"/>
          <w:gridSpan w:val="3"/>
          <w:vAlign w:val="center"/>
        </w:tcPr>
        <w:p w14:paraId="3DC137EA" w14:textId="048778F0" w:rsidR="00DE0D21" w:rsidRDefault="00DE0D21" w:rsidP="00DE0D21">
          <w:pPr>
            <w:jc w:val="center"/>
            <w:rPr>
              <w:b/>
              <w:sz w:val="28"/>
              <w:szCs w:val="28"/>
            </w:rPr>
          </w:pPr>
          <w:r w:rsidRPr="00C326F5">
            <w:rPr>
              <w:b/>
              <w:sz w:val="28"/>
              <w:szCs w:val="28"/>
            </w:rPr>
            <w:t>FY2</w:t>
          </w:r>
          <w:r w:rsidR="009060E8">
            <w:rPr>
              <w:b/>
              <w:sz w:val="28"/>
              <w:szCs w:val="28"/>
            </w:rPr>
            <w:t>6</w:t>
          </w:r>
          <w:r w:rsidRPr="00C326F5">
            <w:rPr>
              <w:b/>
              <w:sz w:val="28"/>
              <w:szCs w:val="28"/>
            </w:rPr>
            <w:t xml:space="preserve"> Plan At A Glance</w:t>
          </w:r>
          <w:r>
            <w:rPr>
              <w:b/>
              <w:sz w:val="28"/>
              <w:szCs w:val="28"/>
            </w:rPr>
            <w:t>:</w:t>
          </w:r>
        </w:p>
        <w:p w14:paraId="388AD9C9" w14:textId="77777777" w:rsidR="00DE0D21" w:rsidRPr="00C326F5" w:rsidRDefault="00AB7C55" w:rsidP="00DE0D21">
          <w:pPr>
            <w:pStyle w:val="Header"/>
            <w:jc w:val="center"/>
          </w:pPr>
          <w:r>
            <w:rPr>
              <w:b/>
              <w:sz w:val="28"/>
              <w:szCs w:val="28"/>
            </w:rPr>
            <w:t>Child and Family Outcome</w:t>
          </w:r>
          <w:r w:rsidR="00DE0D21">
            <w:rPr>
              <w:b/>
              <w:sz w:val="28"/>
              <w:szCs w:val="28"/>
            </w:rPr>
            <w:t xml:space="preserve"> Initiative</w:t>
          </w:r>
        </w:p>
      </w:tc>
    </w:tr>
    <w:tr w:rsidR="00DE0D21" w14:paraId="79D9B14F" w14:textId="77777777" w:rsidTr="00F8275C">
      <w:tc>
        <w:tcPr>
          <w:tcW w:w="1278" w:type="dxa"/>
          <w:vAlign w:val="bottom"/>
        </w:tcPr>
        <w:p w14:paraId="2632A0DC" w14:textId="77777777" w:rsidR="00DE0D21" w:rsidRDefault="00DE0D21" w:rsidP="00DE0D21">
          <w:pPr>
            <w:pStyle w:val="Header"/>
            <w:jc w:val="right"/>
          </w:pPr>
          <w:r>
            <w:t>Network:</w:t>
          </w:r>
        </w:p>
      </w:tc>
      <w:tc>
        <w:tcPr>
          <w:tcW w:w="2430" w:type="dxa"/>
          <w:tcBorders>
            <w:bottom w:val="single" w:sz="4" w:space="0" w:color="auto"/>
          </w:tcBorders>
          <w:vAlign w:val="bottom"/>
        </w:tcPr>
        <w:p w14:paraId="7F51D031" w14:textId="4D03E85F" w:rsidR="00DE0D21" w:rsidRDefault="00926F60">
          <w:pPr>
            <w:pStyle w:val="Header"/>
          </w:pPr>
          <w:r>
            <w:t>Stephenson</w:t>
          </w:r>
          <w:r w:rsidR="00FA355A">
            <w:t xml:space="preserve"> County</w:t>
          </w:r>
        </w:p>
      </w:tc>
      <w:tc>
        <w:tcPr>
          <w:tcW w:w="2520" w:type="dxa"/>
        </w:tcPr>
        <w:p w14:paraId="00ACD174" w14:textId="77777777" w:rsidR="00DE0D21" w:rsidRDefault="00DE0D21">
          <w:pPr>
            <w:pStyle w:val="Header"/>
          </w:pPr>
        </w:p>
      </w:tc>
      <w:tc>
        <w:tcPr>
          <w:tcW w:w="6030" w:type="dxa"/>
          <w:vAlign w:val="bottom"/>
        </w:tcPr>
        <w:p w14:paraId="00EC071E" w14:textId="77777777" w:rsidR="00DE0D21" w:rsidRDefault="00DE0D21">
          <w:pPr>
            <w:pStyle w:val="Header"/>
          </w:pPr>
        </w:p>
      </w:tc>
    </w:tr>
  </w:tbl>
  <w:p w14:paraId="2F741DDE" w14:textId="77777777" w:rsidR="00C326F5" w:rsidRDefault="00C32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FD0"/>
    <w:multiLevelType w:val="hybridMultilevel"/>
    <w:tmpl w:val="99DE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A61BC"/>
    <w:multiLevelType w:val="hybridMultilevel"/>
    <w:tmpl w:val="FE4A1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FC6DC7"/>
    <w:multiLevelType w:val="hybridMultilevel"/>
    <w:tmpl w:val="CB54CB56"/>
    <w:lvl w:ilvl="0" w:tplc="A7BA28A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42D7"/>
    <w:multiLevelType w:val="hybridMultilevel"/>
    <w:tmpl w:val="F1B2F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B56FA"/>
    <w:multiLevelType w:val="hybridMultilevel"/>
    <w:tmpl w:val="1FBA7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35CFD"/>
    <w:multiLevelType w:val="hybridMultilevel"/>
    <w:tmpl w:val="1C8A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4728"/>
    <w:multiLevelType w:val="hybridMultilevel"/>
    <w:tmpl w:val="319A7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50EEF"/>
    <w:multiLevelType w:val="hybridMultilevel"/>
    <w:tmpl w:val="2D2AF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22CD5"/>
    <w:multiLevelType w:val="hybridMultilevel"/>
    <w:tmpl w:val="A580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73658"/>
    <w:multiLevelType w:val="multilevel"/>
    <w:tmpl w:val="180C0566"/>
    <w:lvl w:ilvl="0">
      <w:start w:val="1"/>
      <w:numFmt w:val="decimal"/>
      <w:lvlText w:val="%1"/>
      <w:lvlJc w:val="left"/>
      <w:pPr>
        <w:ind w:left="540" w:hanging="540"/>
      </w:pPr>
      <w:rPr>
        <w:rFonts w:cstheme="minorBidi" w:hint="default"/>
        <w:b w:val="0"/>
      </w:rPr>
    </w:lvl>
    <w:lvl w:ilvl="1">
      <w:start w:val="11"/>
      <w:numFmt w:val="decimal"/>
      <w:lvlText w:val="%1.%2"/>
      <w:lvlJc w:val="left"/>
      <w:pPr>
        <w:ind w:left="540" w:hanging="54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720" w:hanging="72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080" w:hanging="108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440" w:hanging="144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0" w15:restartNumberingAfterBreak="0">
    <w:nsid w:val="37AA3133"/>
    <w:multiLevelType w:val="hybridMultilevel"/>
    <w:tmpl w:val="CE5A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54B18"/>
    <w:multiLevelType w:val="hybridMultilevel"/>
    <w:tmpl w:val="FBD27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0B5D5F"/>
    <w:multiLevelType w:val="hybridMultilevel"/>
    <w:tmpl w:val="9ED8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F4522"/>
    <w:multiLevelType w:val="hybridMultilevel"/>
    <w:tmpl w:val="BD784510"/>
    <w:lvl w:ilvl="0" w:tplc="8864E7B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784ADE"/>
    <w:multiLevelType w:val="hybridMultilevel"/>
    <w:tmpl w:val="C646E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5C0DEB"/>
    <w:multiLevelType w:val="hybridMultilevel"/>
    <w:tmpl w:val="5B0E9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0B53B0"/>
    <w:multiLevelType w:val="hybridMultilevel"/>
    <w:tmpl w:val="989CF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834D7"/>
    <w:multiLevelType w:val="hybridMultilevel"/>
    <w:tmpl w:val="D4988D84"/>
    <w:lvl w:ilvl="0" w:tplc="5D888396">
      <w:numFmt w:val="bullet"/>
      <w:lvlText w:val=""/>
      <w:lvlJc w:val="left"/>
      <w:pPr>
        <w:ind w:left="54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FC272E6"/>
    <w:multiLevelType w:val="hybridMultilevel"/>
    <w:tmpl w:val="C0ECB44A"/>
    <w:lvl w:ilvl="0" w:tplc="8864E7B0">
      <w:start w:val="1"/>
      <w:numFmt w:val="bullet"/>
      <w:lvlText w:val=""/>
      <w:lvlJc w:val="left"/>
      <w:pPr>
        <w:ind w:left="394" w:hanging="360"/>
      </w:pPr>
      <w:rPr>
        <w:rFonts w:ascii="Symbol" w:eastAsiaTheme="minorHAnsi" w:hAnsi="Symbol" w:cs="Times New Roman"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9" w15:restartNumberingAfterBreak="0">
    <w:nsid w:val="613B5CCE"/>
    <w:multiLevelType w:val="hybridMultilevel"/>
    <w:tmpl w:val="3FC25F02"/>
    <w:lvl w:ilvl="0" w:tplc="5D88839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02A03"/>
    <w:multiLevelType w:val="hybridMultilevel"/>
    <w:tmpl w:val="5E100402"/>
    <w:lvl w:ilvl="0" w:tplc="083C1F1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1755B"/>
    <w:multiLevelType w:val="hybridMultilevel"/>
    <w:tmpl w:val="104E01EE"/>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6A673917"/>
    <w:multiLevelType w:val="hybridMultilevel"/>
    <w:tmpl w:val="DEC85E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9536AA"/>
    <w:multiLevelType w:val="hybridMultilevel"/>
    <w:tmpl w:val="9258B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9A6411"/>
    <w:multiLevelType w:val="hybridMultilevel"/>
    <w:tmpl w:val="AC1C4926"/>
    <w:lvl w:ilvl="0" w:tplc="8864E7B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5443373">
    <w:abstractNumId w:val="1"/>
  </w:num>
  <w:num w:numId="2" w16cid:durableId="1899123323">
    <w:abstractNumId w:val="10"/>
  </w:num>
  <w:num w:numId="3" w16cid:durableId="1333950882">
    <w:abstractNumId w:val="7"/>
  </w:num>
  <w:num w:numId="4" w16cid:durableId="28648916">
    <w:abstractNumId w:val="21"/>
  </w:num>
  <w:num w:numId="5" w16cid:durableId="423384412">
    <w:abstractNumId w:val="12"/>
  </w:num>
  <w:num w:numId="6" w16cid:durableId="1843934014">
    <w:abstractNumId w:val="23"/>
  </w:num>
  <w:num w:numId="7" w16cid:durableId="1724210989">
    <w:abstractNumId w:val="8"/>
  </w:num>
  <w:num w:numId="8" w16cid:durableId="1848907212">
    <w:abstractNumId w:val="18"/>
  </w:num>
  <w:num w:numId="9" w16cid:durableId="430977896">
    <w:abstractNumId w:val="11"/>
  </w:num>
  <w:num w:numId="10" w16cid:durableId="1666516590">
    <w:abstractNumId w:val="24"/>
  </w:num>
  <w:num w:numId="11" w16cid:durableId="1605262769">
    <w:abstractNumId w:val="17"/>
  </w:num>
  <w:num w:numId="12" w16cid:durableId="932393899">
    <w:abstractNumId w:val="9"/>
  </w:num>
  <w:num w:numId="13" w16cid:durableId="92476533">
    <w:abstractNumId w:val="13"/>
  </w:num>
  <w:num w:numId="14" w16cid:durableId="984697173">
    <w:abstractNumId w:val="6"/>
  </w:num>
  <w:num w:numId="15" w16cid:durableId="874080874">
    <w:abstractNumId w:val="19"/>
  </w:num>
  <w:num w:numId="16" w16cid:durableId="351303285">
    <w:abstractNumId w:val="16"/>
  </w:num>
  <w:num w:numId="17" w16cid:durableId="426924529">
    <w:abstractNumId w:val="14"/>
  </w:num>
  <w:num w:numId="18" w16cid:durableId="842166228">
    <w:abstractNumId w:val="5"/>
  </w:num>
  <w:num w:numId="19" w16cid:durableId="973103579">
    <w:abstractNumId w:val="15"/>
  </w:num>
  <w:num w:numId="20" w16cid:durableId="1973057480">
    <w:abstractNumId w:val="4"/>
  </w:num>
  <w:num w:numId="21" w16cid:durableId="838737712">
    <w:abstractNumId w:val="3"/>
  </w:num>
  <w:num w:numId="22" w16cid:durableId="1449009387">
    <w:abstractNumId w:val="20"/>
  </w:num>
  <w:num w:numId="23" w16cid:durableId="719863347">
    <w:abstractNumId w:val="22"/>
  </w:num>
  <w:num w:numId="24" w16cid:durableId="1854800858">
    <w:abstractNumId w:val="0"/>
  </w:num>
  <w:num w:numId="25" w16cid:durableId="1199389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52"/>
    <w:rsid w:val="00021357"/>
    <w:rsid w:val="00031CB0"/>
    <w:rsid w:val="00072B08"/>
    <w:rsid w:val="000B3989"/>
    <w:rsid w:val="00101CC0"/>
    <w:rsid w:val="001309A0"/>
    <w:rsid w:val="00174175"/>
    <w:rsid w:val="00195DDD"/>
    <w:rsid w:val="001F01DC"/>
    <w:rsid w:val="001F1B03"/>
    <w:rsid w:val="001F68AF"/>
    <w:rsid w:val="00212A48"/>
    <w:rsid w:val="00235A74"/>
    <w:rsid w:val="00236A52"/>
    <w:rsid w:val="00281B26"/>
    <w:rsid w:val="002A5F8D"/>
    <w:rsid w:val="00303294"/>
    <w:rsid w:val="00333279"/>
    <w:rsid w:val="003C2715"/>
    <w:rsid w:val="003C5FFB"/>
    <w:rsid w:val="003D398C"/>
    <w:rsid w:val="003E6941"/>
    <w:rsid w:val="00413D72"/>
    <w:rsid w:val="004B4E52"/>
    <w:rsid w:val="004F2799"/>
    <w:rsid w:val="00512CDB"/>
    <w:rsid w:val="00541F61"/>
    <w:rsid w:val="00565150"/>
    <w:rsid w:val="0057121A"/>
    <w:rsid w:val="0059689E"/>
    <w:rsid w:val="005A25FA"/>
    <w:rsid w:val="005E2A73"/>
    <w:rsid w:val="005F4297"/>
    <w:rsid w:val="006140F7"/>
    <w:rsid w:val="00615C38"/>
    <w:rsid w:val="00646917"/>
    <w:rsid w:val="00656BB3"/>
    <w:rsid w:val="006C2A21"/>
    <w:rsid w:val="007068DE"/>
    <w:rsid w:val="0070705F"/>
    <w:rsid w:val="007371E0"/>
    <w:rsid w:val="007656D4"/>
    <w:rsid w:val="007A6162"/>
    <w:rsid w:val="007D33D1"/>
    <w:rsid w:val="007E4B9C"/>
    <w:rsid w:val="008502E2"/>
    <w:rsid w:val="008E5049"/>
    <w:rsid w:val="009060E8"/>
    <w:rsid w:val="00926F60"/>
    <w:rsid w:val="009813CC"/>
    <w:rsid w:val="009861FC"/>
    <w:rsid w:val="009B170C"/>
    <w:rsid w:val="00A11720"/>
    <w:rsid w:val="00A35F9D"/>
    <w:rsid w:val="00A45977"/>
    <w:rsid w:val="00A46E85"/>
    <w:rsid w:val="00A812EC"/>
    <w:rsid w:val="00A87220"/>
    <w:rsid w:val="00AB7C55"/>
    <w:rsid w:val="00B15D2B"/>
    <w:rsid w:val="00B46C32"/>
    <w:rsid w:val="00B7480D"/>
    <w:rsid w:val="00B95F00"/>
    <w:rsid w:val="00BD2F4E"/>
    <w:rsid w:val="00BE4599"/>
    <w:rsid w:val="00C326F5"/>
    <w:rsid w:val="00C35CBB"/>
    <w:rsid w:val="00C37716"/>
    <w:rsid w:val="00C705CD"/>
    <w:rsid w:val="00C929FD"/>
    <w:rsid w:val="00CA11C9"/>
    <w:rsid w:val="00CC5F02"/>
    <w:rsid w:val="00CE41C1"/>
    <w:rsid w:val="00CF23A6"/>
    <w:rsid w:val="00D57982"/>
    <w:rsid w:val="00D96A57"/>
    <w:rsid w:val="00DE0D21"/>
    <w:rsid w:val="00DE3C29"/>
    <w:rsid w:val="00E231E9"/>
    <w:rsid w:val="00E46A39"/>
    <w:rsid w:val="00EB7E64"/>
    <w:rsid w:val="00F8275C"/>
    <w:rsid w:val="00FA355A"/>
    <w:rsid w:val="00FB1C02"/>
    <w:rsid w:val="00FD14AC"/>
    <w:rsid w:val="00FD23BC"/>
    <w:rsid w:val="00FF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1C6F"/>
  <w15:docId w15:val="{4B96237C-78B7-4747-949B-309A4745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B9"/>
  </w:style>
  <w:style w:type="paragraph" w:styleId="Heading3">
    <w:name w:val="heading 3"/>
    <w:basedOn w:val="Normal"/>
    <w:link w:val="Heading3Char"/>
    <w:uiPriority w:val="9"/>
    <w:qFormat/>
    <w:rsid w:val="003332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05F"/>
    <w:pPr>
      <w:spacing w:after="0" w:line="240" w:lineRule="auto"/>
    </w:pPr>
    <w:rPr>
      <w:rFonts w:ascii="Calibri" w:eastAsia="Calibri" w:hAnsi="Calibri" w:cs="Calibri"/>
    </w:rPr>
  </w:style>
  <w:style w:type="paragraph" w:styleId="ListParagraph">
    <w:name w:val="List Paragraph"/>
    <w:basedOn w:val="Normal"/>
    <w:uiPriority w:val="34"/>
    <w:qFormat/>
    <w:rsid w:val="0070705F"/>
    <w:pPr>
      <w:ind w:left="720"/>
      <w:contextualSpacing/>
    </w:pPr>
  </w:style>
  <w:style w:type="character" w:customStyle="1" w:styleId="Heading3Char">
    <w:name w:val="Heading 3 Char"/>
    <w:basedOn w:val="DefaultParagraphFont"/>
    <w:link w:val="Heading3"/>
    <w:uiPriority w:val="9"/>
    <w:rsid w:val="003332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3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79"/>
  </w:style>
  <w:style w:type="paragraph" w:styleId="Footer">
    <w:name w:val="footer"/>
    <w:basedOn w:val="Normal"/>
    <w:link w:val="FooterChar"/>
    <w:uiPriority w:val="99"/>
    <w:unhideWhenUsed/>
    <w:rsid w:val="00C3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6F5"/>
  </w:style>
  <w:style w:type="paragraph" w:styleId="BalloonText">
    <w:name w:val="Balloon Text"/>
    <w:basedOn w:val="Normal"/>
    <w:link w:val="BalloonTextChar"/>
    <w:uiPriority w:val="99"/>
    <w:semiHidden/>
    <w:unhideWhenUsed/>
    <w:rsid w:val="00C32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6F5"/>
    <w:rPr>
      <w:rFonts w:ascii="Tahoma" w:hAnsi="Tahoma" w:cs="Tahoma"/>
      <w:sz w:val="16"/>
      <w:szCs w:val="16"/>
    </w:rPr>
  </w:style>
  <w:style w:type="paragraph" w:styleId="NormalWeb">
    <w:name w:val="Normal (Web)"/>
    <w:basedOn w:val="Normal"/>
    <w:uiPriority w:val="99"/>
    <w:rsid w:val="00AB7C55"/>
    <w:pPr>
      <w:spacing w:beforeLines="1" w:afterLines="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dc:creator>
  <cp:lastModifiedBy>Ramirez, Leonor</cp:lastModifiedBy>
  <cp:revision>34</cp:revision>
  <dcterms:created xsi:type="dcterms:W3CDTF">2025-11-25T17:17:00Z</dcterms:created>
  <dcterms:modified xsi:type="dcterms:W3CDTF">2025-11-25T18:40:00Z</dcterms:modified>
</cp:coreProperties>
</file>